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53CF8" w:rsidRDefault="003939EB">
      <w:pPr>
        <w:pStyle w:val="Heading2"/>
        <w:keepNext w:val="0"/>
        <w:keepLines w:val="0"/>
        <w:spacing w:after="80"/>
        <w:rPr>
          <w:b/>
          <w:bCs/>
          <w:sz w:val="34"/>
          <w:szCs w:val="34"/>
        </w:rPr>
      </w:pPr>
      <w:bookmarkStart w:id="0" w:name="_v2wk5sjwf1pf" w:colFirst="0" w:colLast="0"/>
      <w:bookmarkEnd w:id="0"/>
      <w:r>
        <w:rPr>
          <w:b/>
          <w:bCs/>
          <w:sz w:val="34"/>
          <w:szCs w:val="34"/>
        </w:rPr>
        <w:t>Keeping Nutrients Moving</w:t>
      </w:r>
    </w:p>
    <w:p w14:paraId="00000002" w14:textId="2FF7D1FA" w:rsidR="00B53CF8" w:rsidRDefault="003939EB">
      <w:pPr>
        <w:pStyle w:val="Heading3"/>
        <w:keepNext w:val="0"/>
        <w:keepLines w:val="0"/>
        <w:spacing w:before="280"/>
        <w:rPr>
          <w:b/>
          <w:bCs/>
          <w:color w:val="000000"/>
          <w:sz w:val="26"/>
          <w:szCs w:val="26"/>
        </w:rPr>
      </w:pPr>
      <w:bookmarkStart w:id="1" w:name="_a6gqebbablxz" w:colFirst="0" w:colLast="0"/>
      <w:bookmarkEnd w:id="1"/>
      <w:r>
        <w:rPr>
          <w:b/>
          <w:bCs/>
          <w:color w:val="000000"/>
          <w:sz w:val="26"/>
          <w:szCs w:val="26"/>
        </w:rPr>
        <w:t xml:space="preserve">How </w:t>
      </w:r>
      <w:r w:rsidR="0082144A">
        <w:rPr>
          <w:b/>
          <w:bCs/>
          <w:color w:val="000000"/>
          <w:sz w:val="26"/>
          <w:szCs w:val="26"/>
        </w:rPr>
        <w:t xml:space="preserve">secured </w:t>
      </w:r>
      <w:r>
        <w:rPr>
          <w:b/>
          <w:bCs/>
          <w:color w:val="000000"/>
          <w:sz w:val="26"/>
          <w:szCs w:val="26"/>
        </w:rPr>
        <w:t>finance helps fertilizer businesses stay liquid, stay competitive, and keep product flowing</w:t>
      </w:r>
    </w:p>
    <w:p w14:paraId="00000003" w14:textId="77777777" w:rsidR="00B53CF8" w:rsidRDefault="003939EB">
      <w:pPr>
        <w:spacing w:before="240" w:after="240"/>
      </w:pPr>
      <w:r>
        <w:t xml:space="preserve">Fertilizer sits at the center of modern agriculture. It also sits at the center of a tough reality: demand is seasonal, concentrated into narrow windows tied to planting and crop calendars. The product </w:t>
      </w:r>
      <w:proofErr w:type="gramStart"/>
      <w:r>
        <w:t>has to</w:t>
      </w:r>
      <w:proofErr w:type="gramEnd"/>
      <w:r>
        <w:t xml:space="preserve"> be in place quickly. </w:t>
      </w:r>
    </w:p>
    <w:p w14:paraId="00000004" w14:textId="77777777" w:rsidR="00B53CF8" w:rsidRDefault="003939EB">
      <w:pPr>
        <w:spacing w:before="240" w:after="240"/>
      </w:pPr>
      <w:r>
        <w:t>In the last year, trade restrictions and tightening supply disrupted fertilizer pricing and availability. According to World Bank data, the Fertilizer Price Index climbed through 2025, rising from roughly 120 in late 2024 to about 140 by November 2025, roughly 17% higher year-over-year. Trade restrictions and production shortfalls likely contributed to the disruption in pricing.</w:t>
      </w:r>
    </w:p>
    <w:p w14:paraId="00000005" w14:textId="77777777" w:rsidR="00B53CF8" w:rsidRDefault="003939EB">
      <w:pPr>
        <w:spacing w:before="240" w:after="240"/>
      </w:pPr>
      <w:r>
        <w:t>For fertilizer traders, distributors, and producers, those dynamics show up in one place first: working capital.</w:t>
      </w:r>
    </w:p>
    <w:p w14:paraId="00000006" w14:textId="77777777" w:rsidR="00B53CF8" w:rsidRDefault="003939EB">
      <w:pPr>
        <w:pStyle w:val="Heading2"/>
        <w:keepNext w:val="0"/>
        <w:keepLines w:val="0"/>
        <w:spacing w:after="80"/>
        <w:rPr>
          <w:b/>
          <w:bCs/>
          <w:sz w:val="34"/>
          <w:szCs w:val="34"/>
        </w:rPr>
      </w:pPr>
      <w:bookmarkStart w:id="2" w:name="_m256ciklrqfi" w:colFirst="0" w:colLast="0"/>
      <w:bookmarkEnd w:id="2"/>
      <w:r>
        <w:rPr>
          <w:b/>
          <w:bCs/>
          <w:sz w:val="34"/>
          <w:szCs w:val="34"/>
        </w:rPr>
        <w:t>The Balancing Act</w:t>
      </w:r>
    </w:p>
    <w:p w14:paraId="00000007" w14:textId="77777777" w:rsidR="00B53CF8" w:rsidRDefault="003939EB">
      <w:pPr>
        <w:spacing w:before="240" w:after="240"/>
      </w:pPr>
      <w:r>
        <w:t>Fertilizer businesses live or die on access to liquidity. Common pressure points include:</w:t>
      </w:r>
    </w:p>
    <w:p w14:paraId="00000008" w14:textId="7F67753D" w:rsidR="00B53CF8" w:rsidRDefault="003939EB">
      <w:pPr>
        <w:spacing w:before="240" w:after="240"/>
      </w:pPr>
      <w:r>
        <w:rPr>
          <w:b/>
          <w:bCs/>
        </w:rPr>
        <w:t>Seasonality that forces early buys</w:t>
      </w:r>
      <w:r w:rsidR="0082144A">
        <w:rPr>
          <w:b/>
          <w:bCs/>
        </w:rPr>
        <w:t xml:space="preserve">: </w:t>
      </w:r>
      <w:r>
        <w:t xml:space="preserve">Inventory </w:t>
      </w:r>
      <w:proofErr w:type="gramStart"/>
      <w:r>
        <w:t>has to</w:t>
      </w:r>
      <w:proofErr w:type="gramEnd"/>
      <w:r>
        <w:t xml:space="preserve"> be on hand before demand peaks. That means cash goes out before revenue comes in.</w:t>
      </w:r>
    </w:p>
    <w:p w14:paraId="00000009" w14:textId="4ECEFCE9" w:rsidR="00B53CF8" w:rsidRDefault="003939EB">
      <w:pPr>
        <w:spacing w:before="240" w:after="240"/>
      </w:pPr>
      <w:r>
        <w:rPr>
          <w:b/>
          <w:bCs/>
        </w:rPr>
        <w:t>Long payment terms</w:t>
      </w:r>
      <w:r w:rsidR="0082144A">
        <w:rPr>
          <w:b/>
          <w:bCs/>
        </w:rPr>
        <w:t xml:space="preserve">: </w:t>
      </w:r>
      <w:r>
        <w:t>Agricultural supply chains often rely on extended terms. That can be the difference between winning a customer and losing one, but it also stretches cash conversion cycles.</w:t>
      </w:r>
    </w:p>
    <w:p w14:paraId="0000000A" w14:textId="7FB5FCE0" w:rsidR="00B53CF8" w:rsidRDefault="003939EB">
      <w:pPr>
        <w:spacing w:before="240" w:after="240"/>
      </w:pPr>
      <w:r>
        <w:rPr>
          <w:b/>
          <w:bCs/>
        </w:rPr>
        <w:t>Volatility and policy shocks</w:t>
      </w:r>
      <w:r w:rsidR="0082144A">
        <w:rPr>
          <w:b/>
          <w:bCs/>
        </w:rPr>
        <w:t xml:space="preserve">: </w:t>
      </w:r>
      <w:r>
        <w:t>Price moves and trade restrictions can change purchasing behavior overnight and tighten margins. Any disruption can make planning harder.</w:t>
      </w:r>
    </w:p>
    <w:p w14:paraId="0000000B" w14:textId="7CA857C2" w:rsidR="00B53CF8" w:rsidRDefault="003939EB">
      <w:pPr>
        <w:spacing w:before="240" w:after="240"/>
      </w:pPr>
      <w:r>
        <w:rPr>
          <w:b/>
          <w:bCs/>
        </w:rPr>
        <w:t>Growth that outpaces cash</w:t>
      </w:r>
      <w:r w:rsidR="0082144A">
        <w:rPr>
          <w:b/>
          <w:bCs/>
        </w:rPr>
        <w:t xml:space="preserve">: </w:t>
      </w:r>
      <w:r>
        <w:t>Even healthy businesses can hit a wall when sales expand faster than their balance sheet.</w:t>
      </w:r>
    </w:p>
    <w:p w14:paraId="0000000C" w14:textId="77777777" w:rsidR="00B53CF8" w:rsidRDefault="003939EB">
      <w:pPr>
        <w:spacing w:before="240" w:after="240"/>
      </w:pPr>
      <w:r>
        <w:t xml:space="preserve">The result is a familiar bind: companies have </w:t>
      </w:r>
      <w:proofErr w:type="gramStart"/>
      <w:r>
        <w:t>product</w:t>
      </w:r>
      <w:proofErr w:type="gramEnd"/>
      <w:r>
        <w:t xml:space="preserve"> to move and customers ready to buy, but capital gets trapped in receivables and inventory at the exact moment it is most needed.</w:t>
      </w:r>
    </w:p>
    <w:p w14:paraId="0000000D" w14:textId="6A0FAD11" w:rsidR="00B53CF8" w:rsidRDefault="003939EB">
      <w:pPr>
        <w:spacing w:before="240" w:after="240"/>
        <w:rPr>
          <w:b/>
          <w:bCs/>
        </w:rPr>
      </w:pPr>
      <w:r>
        <w:t xml:space="preserve">This is where </w:t>
      </w:r>
      <w:r w:rsidR="0082144A">
        <w:t>secured finance</w:t>
      </w:r>
      <w:r>
        <w:t xml:space="preserve"> often fits better than a one-size cash-flow loan. Instead of lending based only on last quarter’s earnings, asset-based structures can be built around the predictable conversion of working assets into cash.</w:t>
      </w:r>
    </w:p>
    <w:p w14:paraId="0000000E" w14:textId="77777777" w:rsidR="00B53CF8" w:rsidRDefault="003939EB">
      <w:pPr>
        <w:spacing w:before="240" w:after="240"/>
      </w:pPr>
      <w:r>
        <w:t>In practice, that can look like:</w:t>
      </w:r>
    </w:p>
    <w:p w14:paraId="0000000F" w14:textId="77777777" w:rsidR="00B53CF8" w:rsidRDefault="003939EB">
      <w:pPr>
        <w:numPr>
          <w:ilvl w:val="0"/>
          <w:numId w:val="1"/>
        </w:numPr>
        <w:spacing w:before="240"/>
      </w:pPr>
      <w:proofErr w:type="gramStart"/>
      <w:r>
        <w:rPr>
          <w:b/>
          <w:bCs/>
        </w:rPr>
        <w:t>Receivables</w:t>
      </w:r>
      <w:proofErr w:type="gramEnd"/>
      <w:r>
        <w:rPr>
          <w:b/>
          <w:bCs/>
        </w:rPr>
        <w:t>-based borrowing or factoring</w:t>
      </w:r>
      <w:r>
        <w:t xml:space="preserve"> to turn invoices into liquidity sooner.</w:t>
      </w:r>
      <w:r>
        <w:br/>
      </w:r>
    </w:p>
    <w:p w14:paraId="00000010" w14:textId="77777777" w:rsidR="00B53CF8" w:rsidRDefault="003939EB">
      <w:pPr>
        <w:numPr>
          <w:ilvl w:val="0"/>
          <w:numId w:val="1"/>
        </w:numPr>
      </w:pPr>
      <w:r>
        <w:rPr>
          <w:b/>
          <w:bCs/>
        </w:rPr>
        <w:t>Inventory-supported availability</w:t>
      </w:r>
      <w:r>
        <w:t xml:space="preserve"> to help fund seasonal build and replenishment cycles.</w:t>
      </w:r>
      <w:r>
        <w:br/>
      </w:r>
    </w:p>
    <w:p w14:paraId="00000011" w14:textId="77777777" w:rsidR="00B53CF8" w:rsidRDefault="003939EB">
      <w:pPr>
        <w:numPr>
          <w:ilvl w:val="0"/>
          <w:numId w:val="1"/>
        </w:numPr>
        <w:spacing w:after="240"/>
      </w:pPr>
      <w:r>
        <w:rPr>
          <w:b/>
          <w:bCs/>
        </w:rPr>
        <w:t>Facilities that scale up or down</w:t>
      </w:r>
      <w:r>
        <w:t xml:space="preserve"> as assets expand or contract.</w:t>
      </w:r>
      <w:r>
        <w:br/>
      </w:r>
    </w:p>
    <w:p w14:paraId="00000012" w14:textId="77777777" w:rsidR="00B53CF8" w:rsidRDefault="003939EB">
      <w:pPr>
        <w:spacing w:before="240" w:after="240"/>
      </w:pPr>
      <w:r>
        <w:t>Recent examples show how that plays out in fertilizer specifically.</w:t>
      </w:r>
    </w:p>
    <w:p w14:paraId="00000013" w14:textId="3CA539A1" w:rsidR="00B53CF8" w:rsidRDefault="003939EB">
      <w:pPr>
        <w:pStyle w:val="Heading3"/>
        <w:keepNext w:val="0"/>
        <w:keepLines w:val="0"/>
        <w:spacing w:before="280"/>
        <w:rPr>
          <w:b/>
          <w:bCs/>
          <w:color w:val="000000"/>
          <w:sz w:val="26"/>
          <w:szCs w:val="26"/>
        </w:rPr>
      </w:pPr>
      <w:bookmarkStart w:id="3" w:name="_3ts3zizi8kla" w:colFirst="0" w:colLast="0"/>
      <w:bookmarkEnd w:id="3"/>
      <w:r>
        <w:rPr>
          <w:b/>
          <w:bCs/>
          <w:color w:val="000000"/>
          <w:sz w:val="26"/>
          <w:szCs w:val="26"/>
        </w:rPr>
        <w:t xml:space="preserve"> </w:t>
      </w:r>
      <w:r w:rsidR="0082144A">
        <w:rPr>
          <w:b/>
          <w:bCs/>
          <w:color w:val="000000"/>
          <w:sz w:val="26"/>
          <w:szCs w:val="26"/>
        </w:rPr>
        <w:t>F</w:t>
      </w:r>
      <w:r>
        <w:rPr>
          <w:b/>
          <w:bCs/>
          <w:color w:val="000000"/>
          <w:sz w:val="26"/>
          <w:szCs w:val="26"/>
        </w:rPr>
        <w:t xml:space="preserve">actoring </w:t>
      </w:r>
      <w:r w:rsidR="0082144A">
        <w:rPr>
          <w:b/>
          <w:bCs/>
          <w:color w:val="000000"/>
          <w:sz w:val="26"/>
          <w:szCs w:val="26"/>
        </w:rPr>
        <w:t>B</w:t>
      </w:r>
      <w:r>
        <w:rPr>
          <w:b/>
          <w:bCs/>
          <w:color w:val="000000"/>
          <w:sz w:val="26"/>
          <w:szCs w:val="26"/>
        </w:rPr>
        <w:t xml:space="preserve">uilt </w:t>
      </w:r>
      <w:r w:rsidR="0082144A">
        <w:rPr>
          <w:b/>
          <w:bCs/>
          <w:color w:val="000000"/>
          <w:sz w:val="26"/>
          <w:szCs w:val="26"/>
        </w:rPr>
        <w:t>A</w:t>
      </w:r>
      <w:r>
        <w:rPr>
          <w:b/>
          <w:bCs/>
          <w:color w:val="000000"/>
          <w:sz w:val="26"/>
          <w:szCs w:val="26"/>
        </w:rPr>
        <w:t xml:space="preserve">round </w:t>
      </w:r>
      <w:r w:rsidR="0082144A">
        <w:rPr>
          <w:b/>
          <w:bCs/>
          <w:color w:val="000000"/>
          <w:sz w:val="26"/>
          <w:szCs w:val="26"/>
        </w:rPr>
        <w:t>T</w:t>
      </w:r>
      <w:r>
        <w:rPr>
          <w:b/>
          <w:bCs/>
          <w:color w:val="000000"/>
          <w:sz w:val="26"/>
          <w:szCs w:val="26"/>
        </w:rPr>
        <w:t xml:space="preserve">rade </w:t>
      </w:r>
      <w:r w:rsidR="0082144A">
        <w:rPr>
          <w:b/>
          <w:bCs/>
          <w:color w:val="000000"/>
          <w:sz w:val="26"/>
          <w:szCs w:val="26"/>
        </w:rPr>
        <w:t>R</w:t>
      </w:r>
      <w:r>
        <w:rPr>
          <w:b/>
          <w:bCs/>
          <w:color w:val="000000"/>
          <w:sz w:val="26"/>
          <w:szCs w:val="26"/>
        </w:rPr>
        <w:t>eality</w:t>
      </w:r>
    </w:p>
    <w:p w14:paraId="00000014" w14:textId="1719DCB4" w:rsidR="00B53CF8" w:rsidRDefault="003F14EB">
      <w:pPr>
        <w:spacing w:before="240" w:after="240"/>
      </w:pPr>
      <w:r>
        <w:t>One factoring company</w:t>
      </w:r>
      <w:r w:rsidR="003939EB">
        <w:t xml:space="preserve"> </w:t>
      </w:r>
      <w:r w:rsidR="003939EB" w:rsidRPr="003F14EB">
        <w:t xml:space="preserve">announced credit facilities </w:t>
      </w:r>
      <w:r w:rsidR="003939EB">
        <w:t>for two Bulgaria-based fertilizer trading companies, using factoring to support working capital for growth and expansion.</w:t>
      </w:r>
    </w:p>
    <w:p w14:paraId="00000015" w14:textId="7BB956F7" w:rsidR="00B53CF8" w:rsidRDefault="003939EB">
      <w:pPr>
        <w:spacing w:before="240" w:after="240"/>
      </w:pPr>
      <w:r>
        <w:t xml:space="preserve">In one arrangement, </w:t>
      </w:r>
      <w:r w:rsidR="003F14EB">
        <w:t>the factor</w:t>
      </w:r>
      <w:r>
        <w:t xml:space="preserve"> provided a domestic factoring facility to support fertilizer sales within Bulgaria. </w:t>
      </w:r>
      <w:r w:rsidR="003F14EB">
        <w:t xml:space="preserve">This </w:t>
      </w:r>
      <w:proofErr w:type="gramStart"/>
      <w:r w:rsidR="003F14EB">
        <w:t>enable</w:t>
      </w:r>
      <w:proofErr w:type="gramEnd"/>
      <w:r>
        <w:t xml:space="preserve"> the client to offer extended payment terms to customers, helping retain business and attract new buyers.</w:t>
      </w:r>
    </w:p>
    <w:p w14:paraId="00000016" w14:textId="7F72F858" w:rsidR="00B53CF8" w:rsidRDefault="003939EB">
      <w:pPr>
        <w:spacing w:before="240" w:after="240"/>
      </w:pPr>
      <w:r>
        <w:t xml:space="preserve">As that company expanded internationally, </w:t>
      </w:r>
      <w:proofErr w:type="gramStart"/>
      <w:r w:rsidR="003F14EB">
        <w:t>the factor</w:t>
      </w:r>
      <w:r>
        <w:t xml:space="preserve"> added export factoring</w:t>
      </w:r>
      <w:proofErr w:type="gramEnd"/>
      <w:r>
        <w:t xml:space="preserve"> for cross-border sales, and the export facility was scaled up to </w:t>
      </w:r>
      <w:r w:rsidRPr="0082144A">
        <w:t>EUR 1.3 million</w:t>
      </w:r>
      <w:r>
        <w:t xml:space="preserve"> as demand rose.</w:t>
      </w:r>
    </w:p>
    <w:p w14:paraId="00000017" w14:textId="29930F6B" w:rsidR="00B53CF8" w:rsidRDefault="003939EB">
      <w:pPr>
        <w:pStyle w:val="Heading3"/>
        <w:keepNext w:val="0"/>
        <w:keepLines w:val="0"/>
        <w:spacing w:before="280"/>
        <w:rPr>
          <w:b/>
          <w:bCs/>
          <w:color w:val="000000"/>
          <w:sz w:val="26"/>
          <w:szCs w:val="26"/>
        </w:rPr>
      </w:pPr>
      <w:bookmarkStart w:id="4" w:name="_cx6biftlgdwf" w:colFirst="0" w:colLast="0"/>
      <w:bookmarkEnd w:id="4"/>
      <w:proofErr w:type="spellStart"/>
      <w:r>
        <w:rPr>
          <w:b/>
          <w:bCs/>
          <w:color w:val="000000"/>
          <w:sz w:val="26"/>
          <w:szCs w:val="26"/>
        </w:rPr>
        <w:t>Itafos</w:t>
      </w:r>
      <w:proofErr w:type="spellEnd"/>
      <w:r>
        <w:rPr>
          <w:b/>
          <w:bCs/>
          <w:color w:val="000000"/>
          <w:sz w:val="26"/>
          <w:szCs w:val="26"/>
        </w:rPr>
        <w:t xml:space="preserve">: ABL </w:t>
      </w:r>
      <w:r w:rsidR="0082144A">
        <w:rPr>
          <w:b/>
          <w:bCs/>
          <w:color w:val="000000"/>
          <w:sz w:val="26"/>
          <w:szCs w:val="26"/>
        </w:rPr>
        <w:t>R</w:t>
      </w:r>
      <w:r>
        <w:rPr>
          <w:b/>
          <w:bCs/>
          <w:color w:val="000000"/>
          <w:sz w:val="26"/>
          <w:szCs w:val="26"/>
        </w:rPr>
        <w:t xml:space="preserve">evolver as a </w:t>
      </w:r>
      <w:r w:rsidR="0082144A">
        <w:rPr>
          <w:b/>
          <w:bCs/>
          <w:color w:val="000000"/>
          <w:sz w:val="26"/>
          <w:szCs w:val="26"/>
        </w:rPr>
        <w:t>L</w:t>
      </w:r>
      <w:r>
        <w:rPr>
          <w:b/>
          <w:bCs/>
          <w:color w:val="000000"/>
          <w:sz w:val="26"/>
          <w:szCs w:val="26"/>
        </w:rPr>
        <w:t xml:space="preserve">iquidity </w:t>
      </w:r>
      <w:r w:rsidR="0082144A">
        <w:rPr>
          <w:b/>
          <w:bCs/>
          <w:color w:val="000000"/>
          <w:sz w:val="26"/>
          <w:szCs w:val="26"/>
        </w:rPr>
        <w:t>B</w:t>
      </w:r>
      <w:r>
        <w:rPr>
          <w:b/>
          <w:bCs/>
          <w:color w:val="000000"/>
          <w:sz w:val="26"/>
          <w:szCs w:val="26"/>
        </w:rPr>
        <w:t>ackstop</w:t>
      </w:r>
    </w:p>
    <w:p w14:paraId="00000018" w14:textId="77777777" w:rsidR="00B53CF8" w:rsidRDefault="003939EB">
      <w:pPr>
        <w:spacing w:before="240" w:after="240"/>
      </w:pPr>
      <w:r>
        <w:t>For fertilizer producers, price swings and trade disruptions can change cash needs quickly, even when operations are performing well.</w:t>
      </w:r>
    </w:p>
    <w:p w14:paraId="00000019" w14:textId="77777777" w:rsidR="00B53CF8" w:rsidRDefault="003939EB">
      <w:pPr>
        <w:spacing w:before="240" w:after="240"/>
      </w:pPr>
      <w:r>
        <w:t xml:space="preserve">In </w:t>
      </w:r>
      <w:hyperlink r:id="rId5">
        <w:r>
          <w:rPr>
            <w:color w:val="1155CC"/>
            <w:u w:val="single"/>
          </w:rPr>
          <w:t>its Q3 2025 earnings update</w:t>
        </w:r>
      </w:hyperlink>
      <w:r>
        <w:t xml:space="preserve">, </w:t>
      </w:r>
      <w:proofErr w:type="spellStart"/>
      <w:r>
        <w:t>Itafos</w:t>
      </w:r>
      <w:proofErr w:type="spellEnd"/>
      <w:r>
        <w:t xml:space="preserve"> reported strong operating results amid a tighter global phosphate market. The company posted $152.8 million in revenue and approximately $48.9 million in adjusted EBITDA for the quarter, reflecting higher realized pricing and solid production performance year over year.</w:t>
      </w:r>
    </w:p>
    <w:p w14:paraId="0000001A" w14:textId="77777777" w:rsidR="00B53CF8" w:rsidRDefault="003939EB">
      <w:pPr>
        <w:spacing w:before="240" w:after="240"/>
      </w:pPr>
      <w:r>
        <w:t xml:space="preserve">Alongside those results, </w:t>
      </w:r>
      <w:proofErr w:type="spellStart"/>
      <w:r>
        <w:t>Itafos</w:t>
      </w:r>
      <w:proofErr w:type="spellEnd"/>
      <w:r>
        <w:t xml:space="preserve"> disclosed a robust liquidity position, including approximately $86.7 million in cash </w:t>
      </w:r>
      <w:r w:rsidRPr="0082144A">
        <w:t xml:space="preserve">and $80 million of undrawn availability </w:t>
      </w:r>
      <w:r>
        <w:t>under its asset-based revolving credit facility, for total liquidity of roughly $167 million. The ABL facility provides a flexible backstop tied to working assets, giving the company capacity to manage market volatility and timing mismatches in cash flow.</w:t>
      </w:r>
    </w:p>
    <w:p w14:paraId="0000001B" w14:textId="77777777" w:rsidR="00B53CF8" w:rsidRDefault="003939EB">
      <w:pPr>
        <w:spacing w:before="240" w:after="240"/>
      </w:pPr>
      <w:r>
        <w:t>That is the quiet value of ABL when it is working well. The company can keep capacity available for the moments it matters.</w:t>
      </w:r>
    </w:p>
    <w:p w14:paraId="0000001C" w14:textId="0AD1B845" w:rsidR="00B53CF8" w:rsidRDefault="003939EB">
      <w:pPr>
        <w:pStyle w:val="Heading3"/>
        <w:keepNext w:val="0"/>
        <w:keepLines w:val="0"/>
        <w:spacing w:before="280"/>
        <w:rPr>
          <w:b/>
          <w:bCs/>
          <w:color w:val="000000"/>
          <w:sz w:val="26"/>
          <w:szCs w:val="26"/>
        </w:rPr>
      </w:pPr>
      <w:bookmarkStart w:id="5" w:name="_rfm6w21347x3" w:colFirst="0" w:colLast="0"/>
      <w:bookmarkEnd w:id="5"/>
      <w:r>
        <w:rPr>
          <w:b/>
          <w:bCs/>
          <w:color w:val="000000"/>
          <w:sz w:val="26"/>
          <w:szCs w:val="26"/>
        </w:rPr>
        <w:t xml:space="preserve">CVR Partners: </w:t>
      </w:r>
      <w:r w:rsidR="0082144A">
        <w:rPr>
          <w:b/>
          <w:bCs/>
          <w:color w:val="000000"/>
          <w:sz w:val="26"/>
          <w:szCs w:val="26"/>
        </w:rPr>
        <w:t>F</w:t>
      </w:r>
      <w:r>
        <w:rPr>
          <w:b/>
          <w:bCs/>
          <w:color w:val="000000"/>
          <w:sz w:val="26"/>
          <w:szCs w:val="26"/>
        </w:rPr>
        <w:t>ertilizer-</w:t>
      </w:r>
      <w:r w:rsidR="0082144A">
        <w:rPr>
          <w:b/>
          <w:bCs/>
          <w:color w:val="000000"/>
          <w:sz w:val="26"/>
          <w:szCs w:val="26"/>
        </w:rPr>
        <w:t>S</w:t>
      </w:r>
      <w:r>
        <w:rPr>
          <w:b/>
          <w:bCs/>
          <w:color w:val="000000"/>
          <w:sz w:val="26"/>
          <w:szCs w:val="26"/>
        </w:rPr>
        <w:t xml:space="preserve">pecific ABL </w:t>
      </w:r>
      <w:r w:rsidR="0082144A">
        <w:rPr>
          <w:b/>
          <w:bCs/>
          <w:color w:val="000000"/>
          <w:sz w:val="26"/>
          <w:szCs w:val="26"/>
        </w:rPr>
        <w:t>C</w:t>
      </w:r>
      <w:r>
        <w:rPr>
          <w:b/>
          <w:bCs/>
          <w:color w:val="000000"/>
          <w:sz w:val="26"/>
          <w:szCs w:val="26"/>
        </w:rPr>
        <w:t xml:space="preserve">apacity with </w:t>
      </w:r>
      <w:r w:rsidR="0082144A">
        <w:rPr>
          <w:b/>
          <w:bCs/>
          <w:color w:val="000000"/>
          <w:sz w:val="26"/>
          <w:szCs w:val="26"/>
        </w:rPr>
        <w:t>E</w:t>
      </w:r>
      <w:r>
        <w:rPr>
          <w:b/>
          <w:bCs/>
          <w:color w:val="000000"/>
          <w:sz w:val="26"/>
          <w:szCs w:val="26"/>
        </w:rPr>
        <w:t xml:space="preserve">xtended </w:t>
      </w:r>
      <w:r w:rsidR="0082144A">
        <w:rPr>
          <w:b/>
          <w:bCs/>
          <w:color w:val="000000"/>
          <w:sz w:val="26"/>
          <w:szCs w:val="26"/>
        </w:rPr>
        <w:t>M</w:t>
      </w:r>
      <w:r>
        <w:rPr>
          <w:b/>
          <w:bCs/>
          <w:color w:val="000000"/>
          <w:sz w:val="26"/>
          <w:szCs w:val="26"/>
        </w:rPr>
        <w:t>aturity</w:t>
      </w:r>
    </w:p>
    <w:p w14:paraId="0000001D" w14:textId="77777777" w:rsidR="00B53CF8" w:rsidRDefault="003939EB">
      <w:pPr>
        <w:spacing w:before="240" w:after="240"/>
      </w:pPr>
      <w:r>
        <w:t xml:space="preserve">Nitrogen fertilizer producers operate with tight margins and volatile pricing driven by global supply-demand balances. In the third quarter of 2025, CVR Partners reported $43 million in net income and $71 million in EBITDA on $164 million in net sales, compared with much lower earnings and sales in the prior year. Average realized prices for ammonia and UAN were up sharply year-over-year, reflecting tight market fundamentals. The company also declared a $4.02 per unit cash distribution for the quarter — an indicator of strong cash generation even in a cyclically sensitive industry. </w:t>
      </w:r>
    </w:p>
    <w:p w14:paraId="0000001E" w14:textId="77777777" w:rsidR="00B53CF8" w:rsidRDefault="003939EB">
      <w:pPr>
        <w:spacing w:before="240" w:after="240"/>
      </w:pPr>
      <w:r>
        <w:t xml:space="preserve">Against this backdrop, CVR Partners maintains a dedicated Nitrogen Fertilizer ABL credit facility with availability sized to its working assets and backed by collateral that scales with production cycles. An amendment to this facility, which increased capacity and </w:t>
      </w:r>
      <w:hyperlink r:id="rId6">
        <w:r>
          <w:rPr>
            <w:color w:val="1155CC"/>
            <w:u w:val="single"/>
          </w:rPr>
          <w:t>exte</w:t>
        </w:r>
        <w:r>
          <w:rPr>
            <w:color w:val="1155CC"/>
            <w:u w:val="single"/>
          </w:rPr>
          <w:t>n</w:t>
        </w:r>
        <w:r>
          <w:rPr>
            <w:color w:val="1155CC"/>
            <w:u w:val="single"/>
          </w:rPr>
          <w:t>ded maturity through 2028</w:t>
        </w:r>
      </w:hyperlink>
      <w:r>
        <w:t xml:space="preserve">, provided a flexible liquidity buffer to help the company manage timing mismatches between production costs, inventory build, and customer payments. </w:t>
      </w:r>
    </w:p>
    <w:p w14:paraId="0000001F" w14:textId="77777777" w:rsidR="00B53CF8" w:rsidRDefault="003939EB">
      <w:pPr>
        <w:spacing w:before="240" w:after="240"/>
      </w:pPr>
      <w:r>
        <w:t>For producers navigating fluctuating input costs, seasonal demand, and pricing variability, this combination of operational performance and asset-based liquidity underscores how ABL can support continuity and growth even when markets shift rapidly.</w:t>
      </w:r>
    </w:p>
    <w:p w14:paraId="00000024" w14:textId="3E79AA96" w:rsidR="00B53CF8" w:rsidRPr="003F14EB" w:rsidRDefault="003F14EB">
      <w:pPr>
        <w:spacing w:before="240" w:after="240"/>
        <w:rPr>
          <w:b/>
          <w:bCs/>
        </w:rPr>
      </w:pPr>
      <w:bookmarkStart w:id="6" w:name="_4gsoayg3rd9w" w:colFirst="0" w:colLast="0"/>
      <w:bookmarkEnd w:id="6"/>
      <w:r w:rsidRPr="003F14EB">
        <w:rPr>
          <w:b/>
          <w:bCs/>
        </w:rPr>
        <w:t>Conclusion</w:t>
      </w:r>
    </w:p>
    <w:p w14:paraId="00000025" w14:textId="72E7FEF6" w:rsidR="00B53CF8" w:rsidRDefault="003939EB">
      <w:pPr>
        <w:spacing w:before="240" w:after="240"/>
      </w:pPr>
      <w:r>
        <w:t xml:space="preserve">These facilities can be used to offer longer payment terms, inject working capital for expansion, and support competitiveness in global markets. </w:t>
      </w:r>
      <w:r w:rsidR="0082144A">
        <w:t xml:space="preserve">Secured finance </w:t>
      </w:r>
      <w:r>
        <w:t>allows fertilizer businesses to keep trade moving when the timing and realities of trade do not line up neatly.</w:t>
      </w:r>
    </w:p>
    <w:sectPr w:rsidR="00B53CF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31112D5-45FE-4289-8899-F886FA7EC4F3}"/>
  </w:font>
  <w:font w:name="Cambria">
    <w:panose1 w:val="02040503050406030204"/>
    <w:charset w:val="00"/>
    <w:family w:val="roman"/>
    <w:pitch w:val="variable"/>
    <w:sig w:usb0="E00006FF" w:usb1="420024FF" w:usb2="02000000" w:usb3="00000000" w:csb0="0000019F" w:csb1="00000000"/>
    <w:embedRegular r:id="rId2" w:fontKey="{C0C1E1FB-2B6F-4D1B-BD2B-AB1FC973433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41A7C"/>
    <w:multiLevelType w:val="multilevel"/>
    <w:tmpl w:val="95A6A0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38184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CF8"/>
    <w:rsid w:val="00185E94"/>
    <w:rsid w:val="003939EB"/>
    <w:rsid w:val="003F14EB"/>
    <w:rsid w:val="00595372"/>
    <w:rsid w:val="0082144A"/>
    <w:rsid w:val="00B53CF8"/>
    <w:rsid w:val="00F15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4CDC4"/>
  <w15:docId w15:val="{32D0B3DA-7014-4D47-962E-417D4FBB7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ec.gov/Archives/edgar/data/1376139/000137613923000052/exhibit991-cviq32023earnin.htm" TargetMode="External"/><Relationship Id="rId5" Type="http://schemas.openxmlformats.org/officeDocument/2006/relationships/hyperlink" Target="https://itafos.com/news/2025/itafos-reports-outstanding-q3-2025-performance-and-mechanical-completion-of-the-h1-ndr-mine/"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862</Words>
  <Characters>5005</Characters>
  <Application>Microsoft Office Word</Application>
  <DocSecurity>0</DocSecurity>
  <Lines>91</Lines>
  <Paragraphs>22</Paragraphs>
  <ScaleCrop>false</ScaleCrop>
  <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Ocejo, Michele</cp:lastModifiedBy>
  <cp:revision>2</cp:revision>
  <dcterms:created xsi:type="dcterms:W3CDTF">2026-09-16T17:33:00Z</dcterms:created>
  <dcterms:modified xsi:type="dcterms:W3CDTF">2026-09-16T17:33:00Z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a4432a96-c6dd-4e3a-9538-fa3dc31953d2</vt:lpwstr>
  </property>
</Properties>
</file>