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4" w14:textId="41EAAE08" w:rsidR="006A250F" w:rsidRPr="00242857" w:rsidRDefault="00DC78F8" w:rsidP="00242857">
      <w:pPr>
        <w:spacing w:before="240" w:after="240"/>
        <w:ind w:right="600"/>
        <w:rPr>
          <w:b/>
          <w:bCs/>
          <w:sz w:val="24"/>
          <w:szCs w:val="24"/>
        </w:rPr>
      </w:pPr>
      <w:r w:rsidRPr="00D026A9">
        <w:rPr>
          <w:b/>
          <w:bCs/>
          <w:sz w:val="24"/>
          <w:szCs w:val="24"/>
        </w:rPr>
        <w:t>Financing the Future: How Flexible Asset-Based Lending is Powering Growth and Stability Across Industries</w:t>
      </w:r>
    </w:p>
    <w:p w14:paraId="00000006" w14:textId="77777777" w:rsidR="006A250F" w:rsidRDefault="00DC78F8">
      <w:pPr>
        <w:spacing w:before="240" w:after="240"/>
        <w:rPr>
          <w:sz w:val="24"/>
          <w:szCs w:val="24"/>
        </w:rPr>
      </w:pPr>
      <w:bookmarkStart w:id="0" w:name="_lcpf0jdseefx" w:colFirst="0" w:colLast="0"/>
      <w:bookmarkEnd w:id="0"/>
      <w:r>
        <w:rPr>
          <w:sz w:val="24"/>
          <w:szCs w:val="24"/>
        </w:rPr>
        <w:t xml:space="preserve">Access to ready working capital is critical to the success of a business, whether maintaining day-to-day operations or investing in growth. </w:t>
      </w:r>
      <w:proofErr w:type="gramStart"/>
      <w:r>
        <w:rPr>
          <w:sz w:val="24"/>
          <w:szCs w:val="24"/>
        </w:rPr>
        <w:t>Yet,</w:t>
      </w:r>
      <w:proofErr w:type="gramEnd"/>
      <w:r>
        <w:rPr>
          <w:sz w:val="24"/>
          <w:szCs w:val="24"/>
        </w:rPr>
        <w:t xml:space="preserve"> even strong companies often face short-term liquidity constraints, especially amid shifting markets and economic uncertainty.</w:t>
      </w:r>
    </w:p>
    <w:p w14:paraId="00000007" w14:textId="77777777" w:rsidR="006A250F" w:rsidRDefault="00DC78F8">
      <w:pPr>
        <w:spacing w:before="240" w:after="240"/>
        <w:rPr>
          <w:sz w:val="24"/>
          <w:szCs w:val="24"/>
        </w:rPr>
      </w:pPr>
      <w:r>
        <w:rPr>
          <w:sz w:val="24"/>
          <w:szCs w:val="24"/>
        </w:rPr>
        <w:t>Factoring and asset-based lending (ABL) have emerged as powerful solutions for businesses seeking not only capital, but also partnership. From small retailers to national brands, these financing strategies enable companies to convert their assets into opportunity, fueling expansion, innovation, and resilience.</w:t>
      </w:r>
    </w:p>
    <w:p w14:paraId="00000008" w14:textId="77777777" w:rsidR="006A250F" w:rsidRDefault="00DC78F8">
      <w:pPr>
        <w:spacing w:before="240" w:after="240"/>
        <w:rPr>
          <w:sz w:val="24"/>
          <w:szCs w:val="24"/>
        </w:rPr>
      </w:pPr>
      <w:r>
        <w:rPr>
          <w:sz w:val="24"/>
          <w:szCs w:val="24"/>
        </w:rPr>
        <w:t>Three recent examples highlight how ABL is reshaping the financial landscape:</w:t>
      </w:r>
    </w:p>
    <w:p w14:paraId="00000009" w14:textId="77777777" w:rsidR="006A250F" w:rsidRDefault="00DC78F8">
      <w:pPr>
        <w:numPr>
          <w:ilvl w:val="0"/>
          <w:numId w:val="2"/>
        </w:numPr>
        <w:spacing w:before="240"/>
        <w:rPr>
          <w:sz w:val="24"/>
          <w:szCs w:val="24"/>
        </w:rPr>
      </w:pPr>
      <w:proofErr w:type="spellStart"/>
      <w:r>
        <w:rPr>
          <w:sz w:val="24"/>
          <w:szCs w:val="24"/>
        </w:rPr>
        <w:t>Aequum</w:t>
      </w:r>
      <w:proofErr w:type="spellEnd"/>
      <w:r>
        <w:rPr>
          <w:sz w:val="24"/>
          <w:szCs w:val="24"/>
        </w:rPr>
        <w:t xml:space="preserve"> Capital’s $7.5MM revolver supporting a Midwest appliance retailer’s growth.</w:t>
      </w:r>
      <w:r>
        <w:rPr>
          <w:sz w:val="24"/>
          <w:szCs w:val="24"/>
        </w:rPr>
        <w:br/>
      </w:r>
    </w:p>
    <w:p w14:paraId="0000000A" w14:textId="77777777" w:rsidR="006A250F" w:rsidRDefault="00DC78F8">
      <w:pPr>
        <w:numPr>
          <w:ilvl w:val="0"/>
          <w:numId w:val="2"/>
        </w:numPr>
        <w:rPr>
          <w:sz w:val="24"/>
          <w:szCs w:val="24"/>
        </w:rPr>
      </w:pPr>
      <w:r>
        <w:rPr>
          <w:sz w:val="24"/>
          <w:szCs w:val="24"/>
        </w:rPr>
        <w:t>Second Avenue Capital Partners’ $120MM facility financing Aaron’s transformational acquisition.</w:t>
      </w:r>
      <w:r>
        <w:rPr>
          <w:sz w:val="24"/>
          <w:szCs w:val="24"/>
        </w:rPr>
        <w:br/>
      </w:r>
    </w:p>
    <w:p w14:paraId="0000000B" w14:textId="77777777" w:rsidR="006A250F" w:rsidRDefault="00DC78F8">
      <w:pPr>
        <w:numPr>
          <w:ilvl w:val="0"/>
          <w:numId w:val="2"/>
        </w:numPr>
        <w:spacing w:after="240"/>
        <w:rPr>
          <w:sz w:val="24"/>
          <w:szCs w:val="24"/>
        </w:rPr>
      </w:pPr>
      <w:r>
        <w:rPr>
          <w:sz w:val="24"/>
          <w:szCs w:val="24"/>
        </w:rPr>
        <w:t>TAB Bank’s $5MM line empowering a sustainability-driven manufacturer to expand its impact.</w:t>
      </w:r>
      <w:r>
        <w:rPr>
          <w:sz w:val="24"/>
          <w:szCs w:val="24"/>
        </w:rPr>
        <w:br/>
      </w:r>
    </w:p>
    <w:p w14:paraId="0000000C" w14:textId="69DD6685" w:rsidR="006A250F" w:rsidRDefault="00DC78F8">
      <w:pPr>
        <w:spacing w:before="240" w:after="240"/>
        <w:rPr>
          <w:sz w:val="24"/>
          <w:szCs w:val="24"/>
        </w:rPr>
      </w:pPr>
      <w:r>
        <w:rPr>
          <w:sz w:val="24"/>
          <w:szCs w:val="24"/>
        </w:rPr>
        <w:t>Each of these cases demonstrates how modern ABL is a strategic partnership model built on insight, flexibility, and long-term growth.</w:t>
      </w:r>
    </w:p>
    <w:p w14:paraId="0000000D" w14:textId="2504F612" w:rsidR="006A250F" w:rsidRDefault="006A250F">
      <w:pPr>
        <w:rPr>
          <w:sz w:val="24"/>
          <w:szCs w:val="24"/>
        </w:rPr>
      </w:pPr>
    </w:p>
    <w:p w14:paraId="0000000E" w14:textId="4C04A93D" w:rsidR="006A250F" w:rsidRPr="00D026A9" w:rsidRDefault="00DC78F8">
      <w:pPr>
        <w:pStyle w:val="Heading3"/>
        <w:keepNext w:val="0"/>
        <w:keepLines w:val="0"/>
        <w:spacing w:before="280"/>
        <w:rPr>
          <w:b/>
          <w:bCs/>
          <w:color w:val="000000"/>
          <w:sz w:val="24"/>
          <w:szCs w:val="24"/>
        </w:rPr>
      </w:pPr>
      <w:bookmarkStart w:id="1" w:name="_fy1efzby9dg" w:colFirst="0" w:colLast="0"/>
      <w:bookmarkEnd w:id="1"/>
      <w:r w:rsidRPr="00D026A9">
        <w:rPr>
          <w:b/>
          <w:bCs/>
          <w:color w:val="000000"/>
          <w:sz w:val="24"/>
          <w:szCs w:val="24"/>
        </w:rPr>
        <w:t>The Challenge</w:t>
      </w:r>
    </w:p>
    <w:p w14:paraId="0000000F" w14:textId="77777777" w:rsidR="006A250F" w:rsidRDefault="00DC78F8">
      <w:pPr>
        <w:spacing w:before="240" w:after="240"/>
        <w:rPr>
          <w:sz w:val="24"/>
          <w:szCs w:val="24"/>
        </w:rPr>
      </w:pPr>
      <w:r>
        <w:rPr>
          <w:sz w:val="24"/>
          <w:szCs w:val="24"/>
        </w:rPr>
        <w:t>Even well-established companies encounter funding gaps that banks may hesitate to fill. For some, rapid growth or seasonal cycles create cash flow strain. For others, traditional credit metrics simply fail to reflect strong underlying value.</w:t>
      </w:r>
    </w:p>
    <w:p w14:paraId="00000010" w14:textId="77777777" w:rsidR="006A250F" w:rsidRDefault="00DC78F8">
      <w:pPr>
        <w:numPr>
          <w:ilvl w:val="0"/>
          <w:numId w:val="4"/>
        </w:numPr>
        <w:spacing w:before="240"/>
        <w:rPr>
          <w:sz w:val="24"/>
          <w:szCs w:val="24"/>
        </w:rPr>
      </w:pPr>
      <w:r>
        <w:rPr>
          <w:sz w:val="24"/>
          <w:szCs w:val="24"/>
        </w:rPr>
        <w:t>In Chicago, a premier distributor and retailer of household appliances faced exactly that dilemma. Despite a strong product line and national retail presence, its existing bank line no longer met the demands of growth and e-commerce expansion.</w:t>
      </w:r>
      <w:r>
        <w:rPr>
          <w:sz w:val="24"/>
          <w:szCs w:val="24"/>
        </w:rPr>
        <w:br/>
      </w:r>
    </w:p>
    <w:p w14:paraId="00000011" w14:textId="77777777" w:rsidR="006A250F" w:rsidRDefault="00DC78F8">
      <w:pPr>
        <w:numPr>
          <w:ilvl w:val="0"/>
          <w:numId w:val="4"/>
        </w:numPr>
        <w:rPr>
          <w:sz w:val="24"/>
          <w:szCs w:val="24"/>
        </w:rPr>
      </w:pPr>
      <w:r>
        <w:rPr>
          <w:sz w:val="24"/>
          <w:szCs w:val="24"/>
        </w:rPr>
        <w:lastRenderedPageBreak/>
        <w:t>In Boston, industry leader The Aaron’s Company was executing a complex take-private acquisition, a transaction that required speed, precision, and a financing partner capable of structuring a nine-figure facility aligned with multiple stakeholders.</w:t>
      </w:r>
      <w:r>
        <w:rPr>
          <w:sz w:val="24"/>
          <w:szCs w:val="24"/>
        </w:rPr>
        <w:br/>
      </w:r>
    </w:p>
    <w:p w14:paraId="00000012" w14:textId="77777777" w:rsidR="006A250F" w:rsidRDefault="00DC78F8">
      <w:pPr>
        <w:numPr>
          <w:ilvl w:val="0"/>
          <w:numId w:val="4"/>
        </w:numPr>
        <w:spacing w:after="240"/>
        <w:rPr>
          <w:sz w:val="24"/>
          <w:szCs w:val="24"/>
        </w:rPr>
      </w:pPr>
      <w:r>
        <w:rPr>
          <w:sz w:val="24"/>
          <w:szCs w:val="24"/>
        </w:rPr>
        <w:t xml:space="preserve">In Ogden, Utah, </w:t>
      </w:r>
      <w:proofErr w:type="spellStart"/>
      <w:r>
        <w:rPr>
          <w:sz w:val="24"/>
          <w:szCs w:val="24"/>
        </w:rPr>
        <w:t>CoreCentric</w:t>
      </w:r>
      <w:proofErr w:type="spellEnd"/>
      <w:r>
        <w:rPr>
          <w:sz w:val="24"/>
          <w:szCs w:val="24"/>
        </w:rPr>
        <w:t xml:space="preserve"> Solutions, a company devoted to remanufacturing and sustainability, needed a financial partner that could match its innovative business model with equally forward-thinking capital.</w:t>
      </w:r>
      <w:r>
        <w:rPr>
          <w:sz w:val="24"/>
          <w:szCs w:val="24"/>
        </w:rPr>
        <w:br/>
      </w:r>
    </w:p>
    <w:p w14:paraId="00000013" w14:textId="77777777" w:rsidR="006A250F" w:rsidRDefault="00DC78F8">
      <w:pPr>
        <w:spacing w:before="240" w:after="240"/>
        <w:rPr>
          <w:sz w:val="24"/>
          <w:szCs w:val="24"/>
        </w:rPr>
      </w:pPr>
      <w:r>
        <w:rPr>
          <w:sz w:val="24"/>
          <w:szCs w:val="24"/>
        </w:rPr>
        <w:t>Each story began with a company facing constraints—not of vision, but of liquidity. And each found a factor or ABL partner willing to see beyond the balance sheet.</w:t>
      </w:r>
    </w:p>
    <w:p w14:paraId="00000014" w14:textId="66A22302" w:rsidR="006A250F" w:rsidRDefault="006A250F">
      <w:pPr>
        <w:rPr>
          <w:sz w:val="24"/>
          <w:szCs w:val="24"/>
        </w:rPr>
      </w:pPr>
    </w:p>
    <w:p w14:paraId="00000015" w14:textId="61B452C8" w:rsidR="006A250F" w:rsidRPr="00851EB4" w:rsidRDefault="00851EB4">
      <w:pPr>
        <w:pStyle w:val="Heading3"/>
        <w:keepNext w:val="0"/>
        <w:keepLines w:val="0"/>
        <w:spacing w:before="280"/>
        <w:rPr>
          <w:b/>
          <w:bCs/>
          <w:color w:val="000000"/>
          <w:sz w:val="24"/>
          <w:szCs w:val="24"/>
        </w:rPr>
      </w:pPr>
      <w:bookmarkStart w:id="2" w:name="_yyp79s8ex7va" w:colFirst="0" w:colLast="0"/>
      <w:bookmarkEnd w:id="2"/>
      <w:r w:rsidRPr="00851EB4">
        <w:rPr>
          <w:b/>
          <w:bCs/>
          <w:color w:val="000000"/>
          <w:sz w:val="24"/>
          <w:szCs w:val="24"/>
        </w:rPr>
        <w:t>T</w:t>
      </w:r>
      <w:r w:rsidR="00DC78F8" w:rsidRPr="00851EB4">
        <w:rPr>
          <w:b/>
          <w:bCs/>
          <w:color w:val="000000"/>
          <w:sz w:val="24"/>
          <w:szCs w:val="24"/>
        </w:rPr>
        <w:t xml:space="preserve">he Turning Point </w:t>
      </w:r>
    </w:p>
    <w:p w14:paraId="00000016" w14:textId="77777777" w:rsidR="006A250F" w:rsidRDefault="00DC78F8">
      <w:pPr>
        <w:spacing w:before="240" w:after="240"/>
        <w:rPr>
          <w:sz w:val="24"/>
          <w:szCs w:val="24"/>
        </w:rPr>
      </w:pPr>
      <w:r>
        <w:rPr>
          <w:sz w:val="24"/>
          <w:szCs w:val="24"/>
        </w:rPr>
        <w:t>When these companies partnered with specialty lenders, financing became more than access to cash, it became a strategic lever for growth.</w:t>
      </w:r>
    </w:p>
    <w:p w14:paraId="00000017" w14:textId="77777777" w:rsidR="006A250F" w:rsidRDefault="00DC78F8">
      <w:pPr>
        <w:numPr>
          <w:ilvl w:val="0"/>
          <w:numId w:val="3"/>
        </w:numPr>
        <w:spacing w:before="240"/>
        <w:rPr>
          <w:sz w:val="24"/>
          <w:szCs w:val="24"/>
        </w:rPr>
      </w:pPr>
      <w:proofErr w:type="spellStart"/>
      <w:r>
        <w:rPr>
          <w:sz w:val="24"/>
          <w:szCs w:val="24"/>
        </w:rPr>
        <w:t>Aequum</w:t>
      </w:r>
      <w:proofErr w:type="spellEnd"/>
      <w:r>
        <w:rPr>
          <w:sz w:val="24"/>
          <w:szCs w:val="24"/>
        </w:rPr>
        <w:t xml:space="preserve"> Capital provided a $7.5 million asset-based credit facility that refinanced the appliance distributor’s bank line and unlocked additional working capital for inventory and expansion. The flexible structure, secured by receivables from national retailers and e-commerce channels, aligned perfectly with the company’s sales cycles.</w:t>
      </w:r>
      <w:r>
        <w:rPr>
          <w:sz w:val="24"/>
          <w:szCs w:val="24"/>
        </w:rPr>
        <w:br/>
      </w:r>
    </w:p>
    <w:p w14:paraId="00000018" w14:textId="77777777" w:rsidR="006A250F" w:rsidRDefault="00DC78F8">
      <w:pPr>
        <w:numPr>
          <w:ilvl w:val="0"/>
          <w:numId w:val="3"/>
        </w:numPr>
        <w:rPr>
          <w:sz w:val="24"/>
          <w:szCs w:val="24"/>
        </w:rPr>
      </w:pPr>
      <w:r>
        <w:rPr>
          <w:sz w:val="24"/>
          <w:szCs w:val="24"/>
        </w:rPr>
        <w:t xml:space="preserve">Second Avenue Capital Partners (SACP), in partnership with Pathlight Capital, structured a $120 million senior secured revolving credit facility for The Aaron’s Company, Inc. The facility served as a cornerstone in Aaron’s take-private acquisition by </w:t>
      </w:r>
      <w:proofErr w:type="spellStart"/>
      <w:r>
        <w:rPr>
          <w:sz w:val="24"/>
          <w:szCs w:val="24"/>
        </w:rPr>
        <w:t>IQVentures</w:t>
      </w:r>
      <w:proofErr w:type="spellEnd"/>
      <w:r>
        <w:rPr>
          <w:sz w:val="24"/>
          <w:szCs w:val="24"/>
        </w:rPr>
        <w:t xml:space="preserve"> Holdings, supporting a seamless transition while positioning the company to accelerate growth across its 1,200+ stores and robust e-commerce platform.</w:t>
      </w:r>
      <w:r>
        <w:rPr>
          <w:sz w:val="24"/>
          <w:szCs w:val="24"/>
        </w:rPr>
        <w:br/>
      </w:r>
    </w:p>
    <w:p w14:paraId="00000019" w14:textId="77777777" w:rsidR="006A250F" w:rsidRDefault="00DC78F8">
      <w:pPr>
        <w:numPr>
          <w:ilvl w:val="0"/>
          <w:numId w:val="3"/>
        </w:numPr>
        <w:spacing w:after="240"/>
        <w:rPr>
          <w:sz w:val="24"/>
          <w:szCs w:val="24"/>
        </w:rPr>
      </w:pPr>
      <w:r>
        <w:rPr>
          <w:sz w:val="24"/>
          <w:szCs w:val="24"/>
        </w:rPr>
        <w:t xml:space="preserve">TAB Bank extended a $5 million credit facility to </w:t>
      </w:r>
      <w:proofErr w:type="spellStart"/>
      <w:r>
        <w:rPr>
          <w:sz w:val="24"/>
          <w:szCs w:val="24"/>
        </w:rPr>
        <w:t>CoreCentric</w:t>
      </w:r>
      <w:proofErr w:type="spellEnd"/>
      <w:r>
        <w:rPr>
          <w:sz w:val="24"/>
          <w:szCs w:val="24"/>
        </w:rPr>
        <w:t xml:space="preserve"> Solutions, empowering the company to continue its mission of reducing waste through appliance part recovery and remanufacturing. The financing strengthened </w:t>
      </w:r>
      <w:proofErr w:type="spellStart"/>
      <w:r>
        <w:rPr>
          <w:sz w:val="24"/>
          <w:szCs w:val="24"/>
        </w:rPr>
        <w:t>CoreCentric’s</w:t>
      </w:r>
      <w:proofErr w:type="spellEnd"/>
      <w:r>
        <w:rPr>
          <w:sz w:val="24"/>
          <w:szCs w:val="24"/>
        </w:rPr>
        <w:t xml:space="preserve"> ability to service major OEMs and sustainability partners while expanding its repair operations across the Great Lakes region.</w:t>
      </w:r>
      <w:r>
        <w:rPr>
          <w:sz w:val="24"/>
          <w:szCs w:val="24"/>
        </w:rPr>
        <w:br/>
      </w:r>
    </w:p>
    <w:p w14:paraId="0000001A" w14:textId="77777777" w:rsidR="006A250F" w:rsidRDefault="00DC78F8">
      <w:pPr>
        <w:spacing w:before="240" w:after="240"/>
        <w:rPr>
          <w:sz w:val="24"/>
          <w:szCs w:val="24"/>
        </w:rPr>
      </w:pPr>
      <w:r>
        <w:rPr>
          <w:sz w:val="24"/>
          <w:szCs w:val="24"/>
        </w:rPr>
        <w:lastRenderedPageBreak/>
        <w:t>Across these deals, lenders demonstrated a modern approach to ABL: speed, creativity, and partnership. Each facility was tailored, not templated, crafted to fit the borrower’s assets, growth trajectory, and purpose.</w:t>
      </w:r>
    </w:p>
    <w:p w14:paraId="0000001B" w14:textId="37877FFB" w:rsidR="006A250F" w:rsidRDefault="006A250F">
      <w:pPr>
        <w:rPr>
          <w:sz w:val="24"/>
          <w:szCs w:val="24"/>
        </w:rPr>
      </w:pPr>
    </w:p>
    <w:p w14:paraId="0000001C" w14:textId="59A10171" w:rsidR="006A250F" w:rsidRPr="00851EB4" w:rsidRDefault="00DC78F8">
      <w:pPr>
        <w:pStyle w:val="Heading3"/>
        <w:keepNext w:val="0"/>
        <w:keepLines w:val="0"/>
        <w:spacing w:before="280"/>
        <w:rPr>
          <w:b/>
          <w:bCs/>
          <w:color w:val="000000"/>
          <w:sz w:val="24"/>
          <w:szCs w:val="24"/>
        </w:rPr>
      </w:pPr>
      <w:bookmarkStart w:id="3" w:name="_p7z1c9t1h2o" w:colFirst="0" w:colLast="0"/>
      <w:bookmarkEnd w:id="3"/>
      <w:r w:rsidRPr="00851EB4">
        <w:rPr>
          <w:b/>
          <w:bCs/>
          <w:color w:val="000000"/>
          <w:sz w:val="24"/>
          <w:szCs w:val="24"/>
        </w:rPr>
        <w:t>The Results</w:t>
      </w:r>
    </w:p>
    <w:p w14:paraId="0000001D" w14:textId="77777777" w:rsidR="006A250F" w:rsidRDefault="00DC78F8">
      <w:pPr>
        <w:spacing w:before="240" w:after="240"/>
        <w:rPr>
          <w:sz w:val="24"/>
          <w:szCs w:val="24"/>
        </w:rPr>
      </w:pPr>
      <w:r>
        <w:rPr>
          <w:sz w:val="24"/>
          <w:szCs w:val="24"/>
        </w:rPr>
        <w:t>The impact of these partnerships extended well beyond capital infusion.</w:t>
      </w:r>
    </w:p>
    <w:p w14:paraId="0000001E" w14:textId="77777777" w:rsidR="006A250F" w:rsidRDefault="00DC78F8">
      <w:pPr>
        <w:numPr>
          <w:ilvl w:val="0"/>
          <w:numId w:val="1"/>
        </w:numPr>
        <w:spacing w:before="240"/>
        <w:rPr>
          <w:sz w:val="24"/>
          <w:szCs w:val="24"/>
        </w:rPr>
      </w:pPr>
      <w:r>
        <w:rPr>
          <w:sz w:val="24"/>
          <w:szCs w:val="24"/>
        </w:rPr>
        <w:t xml:space="preserve">For the appliance retailer, refinancing through </w:t>
      </w:r>
      <w:proofErr w:type="spellStart"/>
      <w:r>
        <w:rPr>
          <w:sz w:val="24"/>
          <w:szCs w:val="24"/>
        </w:rPr>
        <w:t>Aequum</w:t>
      </w:r>
      <w:proofErr w:type="spellEnd"/>
      <w:r>
        <w:rPr>
          <w:sz w:val="24"/>
          <w:szCs w:val="24"/>
        </w:rPr>
        <w:t xml:space="preserve"> Capital provided financial breathing room and agility to pursue growth initiatives, expand product lines, and strengthen relationships with national retail partners.</w:t>
      </w:r>
      <w:r>
        <w:rPr>
          <w:sz w:val="24"/>
          <w:szCs w:val="24"/>
        </w:rPr>
        <w:br/>
      </w:r>
    </w:p>
    <w:p w14:paraId="0000001F" w14:textId="77777777" w:rsidR="006A250F" w:rsidRDefault="00DC78F8">
      <w:pPr>
        <w:numPr>
          <w:ilvl w:val="0"/>
          <w:numId w:val="1"/>
        </w:numPr>
        <w:rPr>
          <w:sz w:val="24"/>
          <w:szCs w:val="24"/>
        </w:rPr>
      </w:pPr>
      <w:r>
        <w:rPr>
          <w:sz w:val="24"/>
          <w:szCs w:val="24"/>
        </w:rPr>
        <w:t>For Aaron’s, the $120MM facility from SACP ensured continuity and stability during a complex acquisition, enabling a smooth ownership transition while safeguarding the company’s mission to provide flexible ownership options to millions of customers.</w:t>
      </w:r>
      <w:r>
        <w:rPr>
          <w:sz w:val="24"/>
          <w:szCs w:val="24"/>
        </w:rPr>
        <w:br/>
      </w:r>
    </w:p>
    <w:p w14:paraId="00000020" w14:textId="77777777" w:rsidR="006A250F" w:rsidRDefault="00DC78F8">
      <w:pPr>
        <w:numPr>
          <w:ilvl w:val="0"/>
          <w:numId w:val="1"/>
        </w:numPr>
        <w:spacing w:after="240"/>
        <w:rPr>
          <w:sz w:val="24"/>
          <w:szCs w:val="24"/>
        </w:rPr>
      </w:pPr>
      <w:r>
        <w:rPr>
          <w:sz w:val="24"/>
          <w:szCs w:val="24"/>
        </w:rPr>
        <w:t xml:space="preserve">For </w:t>
      </w:r>
      <w:proofErr w:type="spellStart"/>
      <w:r>
        <w:rPr>
          <w:sz w:val="24"/>
          <w:szCs w:val="24"/>
        </w:rPr>
        <w:t>CoreCentric</w:t>
      </w:r>
      <w:proofErr w:type="spellEnd"/>
      <w:r>
        <w:rPr>
          <w:sz w:val="24"/>
          <w:szCs w:val="24"/>
        </w:rPr>
        <w:t xml:space="preserve"> Solutions, TAB Bank’s support amplified the company’s sustainability mission, helping reduce waste, extend product life cycles, and sustain jobs in the repair and remanufacturing industry.</w:t>
      </w:r>
      <w:r>
        <w:rPr>
          <w:sz w:val="24"/>
          <w:szCs w:val="24"/>
        </w:rPr>
        <w:br/>
      </w:r>
    </w:p>
    <w:p w14:paraId="00000021" w14:textId="77777777" w:rsidR="006A250F" w:rsidRDefault="00DC78F8">
      <w:pPr>
        <w:spacing w:before="240" w:after="240"/>
        <w:rPr>
          <w:sz w:val="24"/>
          <w:szCs w:val="24"/>
        </w:rPr>
      </w:pPr>
      <w:r>
        <w:rPr>
          <w:sz w:val="24"/>
          <w:szCs w:val="24"/>
        </w:rPr>
        <w:t>Each outcome underscores a larger truth: ABL and factoring can turn financial friction into forward motion. They allow businesses to move from constrained to confident, supported by partners who understand their value and vision.</w:t>
      </w:r>
    </w:p>
    <w:p w14:paraId="00000022" w14:textId="29A24815" w:rsidR="006A250F" w:rsidRDefault="006A250F">
      <w:pPr>
        <w:rPr>
          <w:sz w:val="24"/>
          <w:szCs w:val="24"/>
        </w:rPr>
      </w:pPr>
    </w:p>
    <w:p w14:paraId="00000023" w14:textId="6D7D76BC" w:rsidR="006A250F" w:rsidRPr="00851EB4" w:rsidRDefault="00DC78F8">
      <w:pPr>
        <w:pStyle w:val="Heading3"/>
        <w:keepNext w:val="0"/>
        <w:keepLines w:val="0"/>
        <w:spacing w:before="280"/>
        <w:rPr>
          <w:b/>
          <w:bCs/>
          <w:color w:val="000000"/>
          <w:sz w:val="24"/>
          <w:szCs w:val="24"/>
        </w:rPr>
      </w:pPr>
      <w:bookmarkStart w:id="4" w:name="_uwinb8tmls7a" w:colFirst="0" w:colLast="0"/>
      <w:bookmarkEnd w:id="4"/>
      <w:r w:rsidRPr="00851EB4">
        <w:rPr>
          <w:b/>
          <w:bCs/>
          <w:color w:val="000000"/>
          <w:sz w:val="24"/>
          <w:szCs w:val="24"/>
        </w:rPr>
        <w:t xml:space="preserve">The Human Element </w:t>
      </w:r>
    </w:p>
    <w:p w14:paraId="00000024" w14:textId="77777777" w:rsidR="006A250F" w:rsidRDefault="00DC78F8">
      <w:pPr>
        <w:spacing w:before="240" w:after="240"/>
        <w:ind w:left="600" w:right="600"/>
        <w:rPr>
          <w:sz w:val="24"/>
          <w:szCs w:val="24"/>
        </w:rPr>
      </w:pPr>
      <w:r>
        <w:rPr>
          <w:sz w:val="24"/>
          <w:szCs w:val="24"/>
        </w:rPr>
        <w:t>“Working with our lender gave us more than capital—it gave us confidence,” shared one executive. “They understood our business, our assets, and our goals. The process was transparent, the partnership genuine.”</w:t>
      </w:r>
    </w:p>
    <w:p w14:paraId="00000025" w14:textId="77777777" w:rsidR="006A250F" w:rsidRDefault="00DC78F8">
      <w:pPr>
        <w:spacing w:before="240" w:after="240"/>
        <w:rPr>
          <w:sz w:val="24"/>
          <w:szCs w:val="24"/>
        </w:rPr>
      </w:pPr>
      <w:r>
        <w:rPr>
          <w:sz w:val="24"/>
          <w:szCs w:val="24"/>
        </w:rPr>
        <w:t xml:space="preserve">From the executive suite at Aaron’s to the operations floor at </w:t>
      </w:r>
      <w:proofErr w:type="spellStart"/>
      <w:r>
        <w:rPr>
          <w:sz w:val="24"/>
          <w:szCs w:val="24"/>
        </w:rPr>
        <w:t>CoreCentric</w:t>
      </w:r>
      <w:proofErr w:type="spellEnd"/>
      <w:r>
        <w:rPr>
          <w:sz w:val="24"/>
          <w:szCs w:val="24"/>
        </w:rPr>
        <w:t xml:space="preserve"> Solutions, these borrowers found not just financing, but allies—partners who shared their drive to build, improve, and grow.</w:t>
      </w:r>
    </w:p>
    <w:p w14:paraId="00000026" w14:textId="14B5D978" w:rsidR="006A250F" w:rsidRDefault="006A250F">
      <w:pPr>
        <w:rPr>
          <w:sz w:val="24"/>
          <w:szCs w:val="24"/>
        </w:rPr>
      </w:pPr>
    </w:p>
    <w:p w14:paraId="0000002B" w14:textId="4356BB99" w:rsidR="006A250F" w:rsidRDefault="00DC78F8">
      <w:pPr>
        <w:spacing w:before="240" w:after="240"/>
        <w:ind w:left="600" w:right="600"/>
        <w:rPr>
          <w:sz w:val="24"/>
          <w:szCs w:val="24"/>
        </w:rPr>
      </w:pPr>
      <w:bookmarkStart w:id="5" w:name="_1tfnsvm350nz" w:colFirst="0" w:colLast="0"/>
      <w:bookmarkEnd w:id="5"/>
      <w:r>
        <w:rPr>
          <w:sz w:val="24"/>
          <w:szCs w:val="24"/>
        </w:rPr>
        <w:lastRenderedPageBreak/>
        <w:br/>
        <w:t xml:space="preserve"> </w:t>
      </w:r>
    </w:p>
    <w:p w14:paraId="0000002C" w14:textId="57A79712" w:rsidR="006A250F" w:rsidRDefault="006A250F">
      <w:pPr>
        <w:rPr>
          <w:sz w:val="24"/>
          <w:szCs w:val="24"/>
        </w:rPr>
      </w:pPr>
    </w:p>
    <w:p w14:paraId="0000002D" w14:textId="73DE845D" w:rsidR="006A250F" w:rsidRPr="00851EB4" w:rsidRDefault="00DC78F8">
      <w:pPr>
        <w:pStyle w:val="Heading3"/>
        <w:keepNext w:val="0"/>
        <w:keepLines w:val="0"/>
        <w:spacing w:before="280"/>
        <w:rPr>
          <w:b/>
          <w:bCs/>
          <w:color w:val="000000"/>
          <w:sz w:val="24"/>
          <w:szCs w:val="24"/>
        </w:rPr>
      </w:pPr>
      <w:bookmarkStart w:id="6" w:name="_yf2z4jepsau3" w:colFirst="0" w:colLast="0"/>
      <w:bookmarkEnd w:id="6"/>
      <w:r w:rsidRPr="00851EB4">
        <w:rPr>
          <w:b/>
          <w:bCs/>
          <w:color w:val="000000"/>
          <w:sz w:val="24"/>
          <w:szCs w:val="24"/>
        </w:rPr>
        <w:t>The Broader Lesson</w:t>
      </w:r>
    </w:p>
    <w:p w14:paraId="0000002E" w14:textId="77777777" w:rsidR="006A250F" w:rsidRDefault="00DC78F8">
      <w:pPr>
        <w:spacing w:before="240" w:after="240"/>
        <w:rPr>
          <w:sz w:val="24"/>
          <w:szCs w:val="24"/>
        </w:rPr>
      </w:pPr>
      <w:r>
        <w:rPr>
          <w:sz w:val="24"/>
          <w:szCs w:val="24"/>
        </w:rPr>
        <w:t>Across industries, from retail and manufacturing to sustainability and consumer finance, ABL and factoring are proving essential tools for navigating modern business realities. These aren’t “alternative” solutions anymore; they’re advantageous ones.</w:t>
      </w:r>
    </w:p>
    <w:p w14:paraId="0000002F" w14:textId="77777777" w:rsidR="006A250F" w:rsidRDefault="00DC78F8">
      <w:pPr>
        <w:spacing w:before="240" w:after="240"/>
        <w:rPr>
          <w:sz w:val="24"/>
          <w:szCs w:val="24"/>
        </w:rPr>
      </w:pPr>
      <w:r>
        <w:rPr>
          <w:sz w:val="24"/>
          <w:szCs w:val="24"/>
        </w:rPr>
        <w:t>By unlocking liquidity from assets, companies gain the flexibility to innovate, adapt, and invest, precisely when opportunity strikes or challenges arise.</w:t>
      </w:r>
    </w:p>
    <w:p w14:paraId="00000031" w14:textId="4A9D5695" w:rsidR="006A250F" w:rsidRDefault="006A250F">
      <w:pPr>
        <w:rPr>
          <w:sz w:val="24"/>
          <w:szCs w:val="24"/>
        </w:rPr>
      </w:pPr>
    </w:p>
    <w:p w14:paraId="00000033" w14:textId="77777777" w:rsidR="006A250F" w:rsidRDefault="00DC78F8">
      <w:pPr>
        <w:spacing w:before="240" w:after="240"/>
        <w:rPr>
          <w:sz w:val="24"/>
          <w:szCs w:val="24"/>
        </w:rPr>
      </w:pPr>
      <w:bookmarkStart w:id="7" w:name="_n9lb0syq1wwx" w:colFirst="0" w:colLast="0"/>
      <w:bookmarkEnd w:id="7"/>
      <w:r>
        <w:rPr>
          <w:sz w:val="24"/>
          <w:szCs w:val="24"/>
        </w:rPr>
        <w:t>If your business is ready to unlock working capital, scale with confidence, or navigate complexity with a trusted financing partner, explore how flexible ABL and factoring solutions can support your goals.</w:t>
      </w:r>
      <w:r>
        <w:rPr>
          <w:sz w:val="24"/>
          <w:szCs w:val="24"/>
        </w:rPr>
        <w:br/>
      </w:r>
    </w:p>
    <w:p w14:paraId="00000034" w14:textId="7A655FF7" w:rsidR="006A250F" w:rsidRDefault="00DC78F8">
      <w:pPr>
        <w:spacing w:before="240" w:after="240"/>
        <w:rPr>
          <w:sz w:val="24"/>
          <w:szCs w:val="24"/>
        </w:rPr>
      </w:pPr>
      <w:r>
        <w:rPr>
          <w:sz w:val="24"/>
          <w:szCs w:val="24"/>
        </w:rPr>
        <w:t xml:space="preserve">Contact the </w:t>
      </w:r>
      <w:hyperlink r:id="rId5" w:history="1">
        <w:r w:rsidRPr="00FE6372">
          <w:rPr>
            <w:rStyle w:val="Hyperlink"/>
            <w:sz w:val="24"/>
            <w:szCs w:val="24"/>
          </w:rPr>
          <w:t xml:space="preserve">Secured Finance </w:t>
        </w:r>
        <w:r w:rsidR="00FE6372" w:rsidRPr="00FE6372">
          <w:rPr>
            <w:rStyle w:val="Hyperlink"/>
            <w:sz w:val="24"/>
            <w:szCs w:val="24"/>
          </w:rPr>
          <w:t>Network</w:t>
        </w:r>
      </w:hyperlink>
      <w:r>
        <w:rPr>
          <w:sz w:val="24"/>
          <w:szCs w:val="24"/>
        </w:rPr>
        <w:t xml:space="preserve"> </w:t>
      </w:r>
      <w:r w:rsidR="00FE6372">
        <w:rPr>
          <w:sz w:val="24"/>
          <w:szCs w:val="24"/>
        </w:rPr>
        <w:t>to</w:t>
      </w:r>
      <w:r>
        <w:rPr>
          <w:sz w:val="24"/>
          <w:szCs w:val="24"/>
        </w:rPr>
        <w:t xml:space="preserve"> learn how your assets can power your next chapter.</w:t>
      </w:r>
    </w:p>
    <w:p w14:paraId="00000035" w14:textId="77777777" w:rsidR="006A250F" w:rsidRDefault="006A250F"/>
    <w:sectPr w:rsidR="006A250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67A76"/>
    <w:multiLevelType w:val="multilevel"/>
    <w:tmpl w:val="CD7ED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BA1719"/>
    <w:multiLevelType w:val="multilevel"/>
    <w:tmpl w:val="99083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796DA6"/>
    <w:multiLevelType w:val="multilevel"/>
    <w:tmpl w:val="73168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196378"/>
    <w:multiLevelType w:val="multilevel"/>
    <w:tmpl w:val="72F6A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6558869">
    <w:abstractNumId w:val="3"/>
  </w:num>
  <w:num w:numId="2" w16cid:durableId="827750033">
    <w:abstractNumId w:val="2"/>
  </w:num>
  <w:num w:numId="3" w16cid:durableId="1583491490">
    <w:abstractNumId w:val="0"/>
  </w:num>
  <w:num w:numId="4" w16cid:durableId="33445856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50F"/>
    <w:rsid w:val="00141885"/>
    <w:rsid w:val="00185E94"/>
    <w:rsid w:val="00242857"/>
    <w:rsid w:val="00315814"/>
    <w:rsid w:val="006A250F"/>
    <w:rsid w:val="006D4E53"/>
    <w:rsid w:val="00757938"/>
    <w:rsid w:val="00851EB4"/>
    <w:rsid w:val="00D026A9"/>
    <w:rsid w:val="00DC78F8"/>
    <w:rsid w:val="00FE6372"/>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26718"/>
  <w15:docId w15:val="{8CD7C086-08AB-421C-B5C1-E58917F1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FE6372"/>
    <w:rPr>
      <w:color w:val="0000FF" w:themeColor="hyperlink"/>
      <w:u w:val="single"/>
    </w:rPr>
  </w:style>
  <w:style w:type="character" w:styleId="UnresolvedMention">
    <w:name w:val="Unresolved Mention"/>
    <w:basedOn w:val="DefaultParagraphFont"/>
    <w:uiPriority w:val="99"/>
    <w:semiHidden/>
    <w:unhideWhenUsed/>
    <w:rsid w:val="00FE6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fnet.com/home/membership/member-directo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845</Words>
  <Characters>5163</Characters>
  <Application>Microsoft Office Word</Application>
  <DocSecurity>0</DocSecurity>
  <Lines>117</Lines>
  <Paragraphs>39</Paragraphs>
  <ScaleCrop>false</ScaleCrop>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Savaser, Aydan</cp:lastModifiedBy>
  <cp:revision>4</cp:revision>
  <dcterms:created xsi:type="dcterms:W3CDTF">2026-09-16T18:23:00Z</dcterms:created>
  <dcterms:modified xsi:type="dcterms:W3CDTF">2026-09-16T18:56:00Z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f1b91c12-c2b1-4333-9780-391141033449</vt:lpwstr>
  </property>
</Properties>
</file>